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7B" w:rsidRPr="001335C8" w:rsidRDefault="0063377B" w:rsidP="0063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ЗАКЛЮЧЕНИЕ № 11</w:t>
      </w:r>
    </w:p>
    <w:p w:rsidR="0063377B" w:rsidRPr="001335C8" w:rsidRDefault="0063377B" w:rsidP="0063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30 января 2019 года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23.01.2019 № 350 – на 1 листе.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1335C8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1335C8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59 листах.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3. Пояснительная записка – на 9 листах.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4. Справочный материал – на 143 листах.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1335C8">
        <w:rPr>
          <w:rFonts w:ascii="Times New Roman" w:hAnsi="Times New Roman"/>
          <w:sz w:val="28"/>
          <w:szCs w:val="28"/>
        </w:rPr>
        <w:t xml:space="preserve"> 24 января 2019 года.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335C8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335C8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1335C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335C8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35C8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1335C8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1335C8">
        <w:rPr>
          <w:rFonts w:ascii="Times New Roman" w:hAnsi="Times New Roman"/>
          <w:bCs/>
          <w:sz w:val="28"/>
          <w:szCs w:val="28"/>
        </w:rPr>
        <w:t>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1.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(далее – Программа).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</w:t>
      </w:r>
      <w:r w:rsidRPr="001335C8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пояснительной записке и предоставленному справочному материалу, Проект представлен на экспертизу для приведения Программы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</w:t>
      </w: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1335C8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5C8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1335C8">
        <w:rPr>
          <w:rFonts w:ascii="Times New Roman" w:hAnsi="Times New Roman" w:cs="Arial"/>
          <w:bCs/>
          <w:sz w:val="28"/>
          <w:szCs w:val="28"/>
        </w:rPr>
        <w:t>Проектом предлагается уменьшить объемы финансирования Программы на 54 425 639,39 рублей в том числе:</w:t>
      </w: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1335C8">
        <w:rPr>
          <w:rFonts w:ascii="Times New Roman" w:hAnsi="Times New Roman" w:cs="Arial"/>
          <w:bCs/>
          <w:sz w:val="28"/>
          <w:szCs w:val="28"/>
        </w:rPr>
        <w:t>- за счет средств местного бюджета – уменьшение на 48 747 431,39 рублей;</w:t>
      </w: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1335C8">
        <w:rPr>
          <w:rFonts w:ascii="Times New Roman" w:hAnsi="Times New Roman" w:cs="Arial"/>
          <w:bCs/>
          <w:sz w:val="28"/>
          <w:szCs w:val="28"/>
        </w:rPr>
        <w:t>- за счет внебюджетных источников – уменьшение на 5 678 208,00 рублей.</w:t>
      </w: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1335C8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625 377 956,14 рублей в том числе: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606 196 454,14 рублей;</w:t>
      </w:r>
    </w:p>
    <w:p w:rsidR="0063377B" w:rsidRPr="001335C8" w:rsidRDefault="0063377B" w:rsidP="0063377B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19 181 502,00 рублей.   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- 2019 год – 100 752 354,96 рублей (уменьшение на 10 786 433,46 рублей);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 (уменьшение на 27 076 255,27 рублей);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 (уменьшение на 16 562 950,66 рублей);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63377B" w:rsidRPr="001335C8" w:rsidRDefault="0063377B" w:rsidP="0063377B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35C8">
        <w:rPr>
          <w:rFonts w:ascii="Times New Roman" w:hAnsi="Times New Roman"/>
          <w:sz w:val="28"/>
          <w:szCs w:val="28"/>
        </w:rPr>
        <w:t xml:space="preserve">В Приложении </w:t>
      </w:r>
      <w:r w:rsidRPr="001335C8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1335C8">
        <w:rPr>
          <w:rFonts w:ascii="Times New Roman" w:hAnsi="Times New Roman"/>
          <w:sz w:val="28"/>
          <w:szCs w:val="28"/>
        </w:rPr>
        <w:t xml:space="preserve"> в 2019 году внесены следующие изменения: 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  <w:lang w:eastAsia="en-US" w:bidi="en-US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  <w:lang w:eastAsia="en-US" w:bidi="en-US"/>
        </w:rPr>
        <w:t xml:space="preserve"> 1.1. 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«Организация библиотечного обслуживания населения, формирование и хранение библиотечных фондов муниципальных библиотек» </w:t>
      </w:r>
      <w:r w:rsidRPr="001335C8">
        <w:rPr>
          <w:rFonts w:ascii="Times New Roman" w:hAnsi="Times New Roman"/>
          <w:sz w:val="28"/>
          <w:szCs w:val="28"/>
          <w:lang w:eastAsia="en-US" w:bidi="en-US"/>
        </w:rPr>
        <w:t xml:space="preserve">– увеличен объем финансирования за счет средств местного бюджета на 290 865,96 рублей и составил </w:t>
      </w:r>
      <w:r w:rsidRPr="001335C8">
        <w:rPr>
          <w:rFonts w:ascii="Times New Roman" w:hAnsi="Times New Roman"/>
          <w:b/>
          <w:sz w:val="28"/>
          <w:szCs w:val="28"/>
          <w:lang w:eastAsia="en-US" w:bidi="en-US"/>
        </w:rPr>
        <w:t>18 921 493,96</w:t>
      </w:r>
      <w:r w:rsidRPr="001335C8">
        <w:rPr>
          <w:rFonts w:ascii="Times New Roman" w:hAnsi="Times New Roman"/>
          <w:sz w:val="28"/>
          <w:szCs w:val="28"/>
          <w:lang w:eastAsia="en-US" w:bidi="en-US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1.2. </w:t>
      </w:r>
      <w:r w:rsidRPr="001335C8">
        <w:rPr>
          <w:rFonts w:ascii="Times New Roman" w:hAnsi="Times New Roman"/>
          <w:sz w:val="28"/>
          <w:szCs w:val="28"/>
        </w:rPr>
        <w:t xml:space="preserve">«Организация деятельности учреждений культуры и искусства культурно-досуговой сферы» – увеличен объем финансирования за счет средств местного бюджета на 2 256 175,00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32 541 194,00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1.3. </w:t>
      </w:r>
      <w:r w:rsidRPr="001335C8">
        <w:rPr>
          <w:rFonts w:ascii="Times New Roman" w:hAnsi="Times New Roman"/>
          <w:sz w:val="28"/>
          <w:szCs w:val="28"/>
        </w:rPr>
        <w:t xml:space="preserve">«Реализация мероприятий в сфере культуры и искусства» – уменьшен объем финансирования за счет средств местного </w:t>
      </w:r>
      <w:r w:rsidRPr="001335C8">
        <w:rPr>
          <w:rFonts w:ascii="Times New Roman" w:hAnsi="Times New Roman"/>
          <w:sz w:val="28"/>
          <w:szCs w:val="28"/>
        </w:rPr>
        <w:lastRenderedPageBreak/>
        <w:t xml:space="preserve">бюджета на 338 169,99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1 578 630,01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1.4. </w:t>
      </w:r>
      <w:r w:rsidRPr="001335C8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безопасности, антитеррористической защищенности, санитарного законодательства» – уменьшен объем финансирования за счет средств местного бюджета на 304 771,11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1.5. </w:t>
      </w:r>
      <w:r w:rsidRPr="001335C8">
        <w:rPr>
          <w:rFonts w:ascii="Times New Roman" w:hAnsi="Times New Roman"/>
          <w:sz w:val="28"/>
          <w:szCs w:val="28"/>
        </w:rPr>
        <w:t xml:space="preserve">«Обеспечение мероприятий по укреплению и развитию материально-технической базы муниципальных учреждений культуры» – уменьшен объем финансирования за счет средств местного бюджета на 200 000,00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2.1. </w:t>
      </w:r>
      <w:r w:rsidRPr="001335C8">
        <w:rPr>
          <w:rFonts w:ascii="Times New Roman" w:hAnsi="Times New Roman"/>
          <w:sz w:val="28"/>
          <w:szCs w:val="28"/>
        </w:rPr>
        <w:t xml:space="preserve">«Организация предоставления дополнительного образования детей в муниципальных организациях дополнительного образования в сфере культуры и искусства» – уменьшен объем финансирования за счет средств местного бюджета на 2 968 521,06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16 018 709,50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3.1. </w:t>
      </w:r>
      <w:r w:rsidRPr="001335C8">
        <w:rPr>
          <w:rFonts w:ascii="Times New Roman" w:hAnsi="Times New Roman"/>
          <w:sz w:val="28"/>
          <w:szCs w:val="28"/>
        </w:rPr>
        <w:t xml:space="preserve">«Обеспечение деятельности учреждения в целях организации и осуществления мероприятий по работе с детьми и молодежью» – уменьшен объем финансирования за счет средств местного бюджета на 3 069 207,50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9 219 958,11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3.2. </w:t>
      </w:r>
      <w:r w:rsidRPr="001335C8">
        <w:rPr>
          <w:rFonts w:ascii="Times New Roman" w:hAnsi="Times New Roman"/>
          <w:sz w:val="28"/>
          <w:szCs w:val="28"/>
        </w:rPr>
        <w:t xml:space="preserve">«Организация временного трудоустройства несовершеннолетних граждан» – уменьшен объем финансирования за счет средств местного бюджета на 3 181 234,00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3.3. </w:t>
      </w:r>
      <w:r w:rsidRPr="001335C8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по работе с молодежью, приведение их в соответствие с требованиями норм пожарной, антитеррористической безопасности и санитарного законодательства» – уменьшен объем финансирования за счет средств местного бюджета на 520 071,38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40 265,59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3.4. </w:t>
      </w:r>
      <w:r w:rsidRPr="001335C8">
        <w:rPr>
          <w:rFonts w:ascii="Times New Roman" w:hAnsi="Times New Roman"/>
          <w:sz w:val="28"/>
          <w:szCs w:val="28"/>
        </w:rPr>
        <w:t xml:space="preserve">«Реализация мероприятий по работе с молодежью» – уменьшен объем финансирования за счет средств местного </w:t>
      </w:r>
      <w:r w:rsidRPr="001335C8">
        <w:rPr>
          <w:rFonts w:ascii="Times New Roman" w:hAnsi="Times New Roman"/>
          <w:sz w:val="28"/>
          <w:szCs w:val="28"/>
        </w:rPr>
        <w:lastRenderedPageBreak/>
        <w:t xml:space="preserve">бюджета на 344 000,00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150 000,00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4.2. </w:t>
      </w:r>
      <w:r w:rsidRPr="001335C8">
        <w:rPr>
          <w:rFonts w:ascii="Times New Roman" w:hAnsi="Times New Roman"/>
          <w:sz w:val="28"/>
          <w:szCs w:val="28"/>
        </w:rPr>
        <w:t xml:space="preserve">«Организация и проведение военно-спортивных игр, военно-спортивных мероприятий» – уменьшен объем финансирования за счет средств местного бюджета на 20 000,00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60 000,00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5.1. </w:t>
      </w:r>
      <w:r w:rsidRPr="001335C8">
        <w:rPr>
          <w:rFonts w:ascii="Times New Roman" w:hAnsi="Times New Roman"/>
          <w:sz w:val="28"/>
          <w:szCs w:val="28"/>
        </w:rPr>
        <w:t>«Предоставление социальных выплат молодым семьям на приобретение (строительство) жилья» – увеличен объем финансирования на 204 510,60 рублей, из них:</w:t>
      </w:r>
    </w:p>
    <w:p w:rsidR="0063377B" w:rsidRPr="001335C8" w:rsidRDefault="0063377B" w:rsidP="0063377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за счет средств местного бюджета увеличение на 29 215,80 рублей;</w:t>
      </w:r>
    </w:p>
    <w:p w:rsidR="0063377B" w:rsidRPr="001335C8" w:rsidRDefault="0063377B" w:rsidP="0063377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за счет внебюджетных источников увеличение </w:t>
      </w:r>
      <w:proofErr w:type="gramStart"/>
      <w:r w:rsidRPr="001335C8">
        <w:rPr>
          <w:rFonts w:ascii="Times New Roman" w:hAnsi="Times New Roman"/>
          <w:sz w:val="28"/>
          <w:szCs w:val="28"/>
        </w:rPr>
        <w:t>на  175</w:t>
      </w:r>
      <w:proofErr w:type="gramEnd"/>
      <w:r w:rsidRPr="001335C8">
        <w:rPr>
          <w:rFonts w:ascii="Times New Roman" w:hAnsi="Times New Roman"/>
          <w:sz w:val="28"/>
          <w:szCs w:val="28"/>
        </w:rPr>
        <w:t> 294,80 рублей.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Объем финансирования данного мероприятия составил </w:t>
      </w:r>
      <w:r w:rsidRPr="001335C8">
        <w:rPr>
          <w:rFonts w:ascii="Times New Roman" w:hAnsi="Times New Roman"/>
          <w:b/>
          <w:sz w:val="28"/>
          <w:szCs w:val="28"/>
        </w:rPr>
        <w:t>5 618 403,00</w:t>
      </w:r>
      <w:r w:rsidRPr="001335C8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63377B" w:rsidRPr="001335C8" w:rsidRDefault="0063377B" w:rsidP="0063377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средства местного бюджета </w:t>
      </w:r>
      <w:r w:rsidRPr="001335C8">
        <w:rPr>
          <w:rFonts w:ascii="Times New Roman" w:hAnsi="Times New Roman"/>
          <w:b/>
          <w:sz w:val="28"/>
          <w:szCs w:val="28"/>
        </w:rPr>
        <w:t>802 629,00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- внебюджетные источники </w:t>
      </w:r>
      <w:r w:rsidRPr="001335C8">
        <w:rPr>
          <w:rFonts w:ascii="Times New Roman" w:hAnsi="Times New Roman"/>
          <w:b/>
          <w:sz w:val="28"/>
          <w:szCs w:val="28"/>
        </w:rPr>
        <w:t>4 815 774,00</w:t>
      </w:r>
      <w:r w:rsidRPr="001335C8">
        <w:rPr>
          <w:rFonts w:ascii="Times New Roman" w:hAnsi="Times New Roman"/>
          <w:sz w:val="28"/>
          <w:szCs w:val="28"/>
        </w:rPr>
        <w:t xml:space="preserve"> рублей.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6.1. </w:t>
      </w:r>
      <w:r w:rsidRPr="001335C8">
        <w:rPr>
          <w:rFonts w:ascii="Times New Roman" w:hAnsi="Times New Roman"/>
          <w:sz w:val="28"/>
          <w:szCs w:val="28"/>
        </w:rPr>
        <w:t xml:space="preserve">«Обеспечение деятельности МКУ «Управление культуры и молодежной политики городского округа Красноуральск» – уменьшен объем финансирования за счет средств местного бюджета на 2 366 936,96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15 311 373,81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7.1. </w:t>
      </w:r>
      <w:r w:rsidRPr="001335C8">
        <w:rPr>
          <w:rFonts w:ascii="Times New Roman" w:hAnsi="Times New Roman"/>
          <w:sz w:val="28"/>
          <w:szCs w:val="28"/>
        </w:rPr>
        <w:t xml:space="preserve">«Реализация мероприятий по профилактике терроризма и экстремизма в городском округе Красноуральск» – уменьшен объем финансирования за счет средств местного бюджета на 40 000,00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60 000,00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9.1. </w:t>
      </w:r>
      <w:r w:rsidRPr="001335C8">
        <w:rPr>
          <w:rFonts w:ascii="Times New Roman" w:hAnsi="Times New Roman"/>
          <w:sz w:val="28"/>
          <w:szCs w:val="28"/>
        </w:rPr>
        <w:t xml:space="preserve">«Реализация мероприятий, направленных на укрепление межнациональных и межконфессиональных отношений на территории городского округа Красноуральск» – уменьшен объем финансирования за счет средств местного бюджета на 40 000,00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40 000,00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10.1. </w:t>
      </w:r>
      <w:r w:rsidRPr="001335C8">
        <w:rPr>
          <w:rFonts w:ascii="Times New Roman" w:hAnsi="Times New Roman"/>
          <w:sz w:val="28"/>
          <w:szCs w:val="28"/>
        </w:rPr>
        <w:t xml:space="preserve">«Реализация мероприятий, направленных на противодействие распространению социально-значимых заболеваний, наркомании, алкоголизма» – уменьшен объем финансирования за счет средств местного бюджета на 195 000,00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50 000,00</w:t>
      </w:r>
      <w:r w:rsidRPr="001335C8">
        <w:rPr>
          <w:rFonts w:ascii="Times New Roman" w:hAnsi="Times New Roman"/>
          <w:sz w:val="28"/>
          <w:szCs w:val="28"/>
        </w:rPr>
        <w:t xml:space="preserve"> рублей;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Мероприятие</w:t>
      </w:r>
      <w:r w:rsidRPr="001335C8">
        <w:rPr>
          <w:rFonts w:ascii="Times New Roman" w:hAnsi="Times New Roman"/>
          <w:b/>
          <w:sz w:val="28"/>
          <w:szCs w:val="28"/>
        </w:rPr>
        <w:t xml:space="preserve"> 11.1. </w:t>
      </w:r>
      <w:r w:rsidRPr="001335C8">
        <w:rPr>
          <w:rFonts w:ascii="Times New Roman" w:hAnsi="Times New Roman"/>
          <w:sz w:val="28"/>
          <w:szCs w:val="28"/>
        </w:rPr>
        <w:t xml:space="preserve">«Обеспечение сохранности и функционирования сооружений (памятников, стел, бюстов, обелисков, мемориальных </w:t>
      </w:r>
      <w:r w:rsidRPr="001335C8">
        <w:rPr>
          <w:rFonts w:ascii="Times New Roman" w:hAnsi="Times New Roman"/>
          <w:sz w:val="28"/>
          <w:szCs w:val="28"/>
        </w:rPr>
        <w:lastRenderedPageBreak/>
        <w:t xml:space="preserve">комплексов, мемориальных досок и братских могил)» – увеличен объем финансирования за счет средств местного бюджета на 49 926,98 рублей и составил </w:t>
      </w:r>
      <w:r w:rsidRPr="001335C8">
        <w:rPr>
          <w:rFonts w:ascii="Times New Roman" w:hAnsi="Times New Roman"/>
          <w:b/>
          <w:sz w:val="28"/>
          <w:szCs w:val="28"/>
        </w:rPr>
        <w:t>254 326,98</w:t>
      </w:r>
      <w:r w:rsidRPr="001335C8">
        <w:rPr>
          <w:rFonts w:ascii="Times New Roman" w:hAnsi="Times New Roman"/>
          <w:sz w:val="28"/>
          <w:szCs w:val="28"/>
        </w:rPr>
        <w:t xml:space="preserve"> рублей.</w:t>
      </w:r>
    </w:p>
    <w:p w:rsidR="0063377B" w:rsidRPr="001335C8" w:rsidRDefault="0063377B" w:rsidP="00633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локальные сметы, коммерческие предложения, муниципальные задания на основании которых был определен размер финансирования мероприятий Программы.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 xml:space="preserve">5. </w:t>
      </w:r>
      <w:r w:rsidRPr="001335C8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1335C8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1335C8">
        <w:rPr>
          <w:rFonts w:ascii="Times New Roman" w:hAnsi="Times New Roman"/>
          <w:sz w:val="28"/>
          <w:szCs w:val="28"/>
        </w:rPr>
        <w:t xml:space="preserve"> в 2019 году внесены изменения:</w:t>
      </w:r>
    </w:p>
    <w:p w:rsidR="0063377B" w:rsidRPr="001335C8" w:rsidRDefault="0063377B" w:rsidP="006337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1.1.1.</w:t>
      </w:r>
      <w:r w:rsidRPr="001335C8">
        <w:rPr>
          <w:rFonts w:ascii="Times New Roman" w:hAnsi="Times New Roman"/>
          <w:sz w:val="28"/>
          <w:szCs w:val="28"/>
        </w:rPr>
        <w:t xml:space="preserve"> «Число посещений муниципальных библиотек», увеличен на 10 175 единиц и составил </w:t>
      </w:r>
      <w:r w:rsidRPr="001335C8">
        <w:rPr>
          <w:rFonts w:ascii="Times New Roman" w:hAnsi="Times New Roman"/>
          <w:b/>
          <w:sz w:val="28"/>
          <w:szCs w:val="28"/>
        </w:rPr>
        <w:t>145 375</w:t>
      </w:r>
      <w:r w:rsidRPr="001335C8">
        <w:rPr>
          <w:rFonts w:ascii="Times New Roman" w:hAnsi="Times New Roman"/>
          <w:sz w:val="28"/>
          <w:szCs w:val="28"/>
        </w:rPr>
        <w:t xml:space="preserve"> единиц;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1.1.2.</w:t>
      </w:r>
      <w:r w:rsidRPr="001335C8">
        <w:rPr>
          <w:rFonts w:ascii="Times New Roman" w:hAnsi="Times New Roman"/>
          <w:sz w:val="28"/>
          <w:szCs w:val="28"/>
        </w:rPr>
        <w:t xml:space="preserve"> «Посещаемость населением киносеансов, проводимых организациями, осуществляющими кинопоказ», увеличен на 3,3% и составил </w:t>
      </w:r>
      <w:r w:rsidRPr="001335C8">
        <w:rPr>
          <w:rFonts w:ascii="Times New Roman" w:hAnsi="Times New Roman"/>
          <w:b/>
          <w:sz w:val="28"/>
          <w:szCs w:val="28"/>
        </w:rPr>
        <w:t>85,4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Введен новый 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1.1.3.</w:t>
      </w:r>
      <w:r w:rsidRPr="001335C8">
        <w:rPr>
          <w:rFonts w:ascii="Times New Roman" w:hAnsi="Times New Roman"/>
          <w:sz w:val="28"/>
          <w:szCs w:val="28"/>
        </w:rPr>
        <w:t xml:space="preserve"> «Темп роста количества граждан, вовлеченных в мероприятия по сравнению с предыдущим годом», который составил </w:t>
      </w:r>
      <w:r w:rsidRPr="001335C8">
        <w:rPr>
          <w:rFonts w:ascii="Times New Roman" w:hAnsi="Times New Roman"/>
          <w:b/>
          <w:sz w:val="28"/>
          <w:szCs w:val="28"/>
        </w:rPr>
        <w:t>0,1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1.2.1.</w:t>
      </w:r>
      <w:r w:rsidRPr="001335C8">
        <w:rPr>
          <w:rFonts w:ascii="Times New Roman" w:hAnsi="Times New Roman"/>
          <w:sz w:val="28"/>
          <w:szCs w:val="28"/>
        </w:rPr>
        <w:t xml:space="preserve"> «Увеличение численности участников культурно-досуговых мероприятий», уменьшен на 9,239 тыс. человек и составил 134,407 тыс. человек;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3.1.1.</w:t>
      </w:r>
      <w:r w:rsidRPr="001335C8">
        <w:rPr>
          <w:rFonts w:ascii="Times New Roman" w:hAnsi="Times New Roman"/>
          <w:sz w:val="28"/>
          <w:szCs w:val="28"/>
        </w:rPr>
        <w:t xml:space="preserve"> «Доля поддержанных молодежных инициатив, от общего количества молодежных инициатив по результатам проектных конкурсов», увеличен на 76,7% и составил </w:t>
      </w:r>
      <w:r w:rsidRPr="001335C8">
        <w:rPr>
          <w:rFonts w:ascii="Times New Roman" w:hAnsi="Times New Roman"/>
          <w:b/>
          <w:sz w:val="28"/>
          <w:szCs w:val="28"/>
        </w:rPr>
        <w:t>100,0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3.1.2.</w:t>
      </w:r>
      <w:r w:rsidRPr="001335C8">
        <w:rPr>
          <w:rFonts w:ascii="Times New Roman" w:hAnsi="Times New Roman"/>
          <w:sz w:val="28"/>
          <w:szCs w:val="28"/>
        </w:rPr>
        <w:t xml:space="preserve"> «Доля молодежи, принявшей участие в мероприятиях по приоритетным направлениям молодежной политики, от общего количества молодежи», увеличен на 4,8% и составил </w:t>
      </w:r>
      <w:r w:rsidRPr="001335C8">
        <w:rPr>
          <w:rFonts w:ascii="Times New Roman" w:hAnsi="Times New Roman"/>
          <w:b/>
          <w:sz w:val="28"/>
          <w:szCs w:val="28"/>
        </w:rPr>
        <w:t>7,7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3.2.2.</w:t>
      </w:r>
      <w:r w:rsidRPr="001335C8">
        <w:rPr>
          <w:rFonts w:ascii="Times New Roman" w:hAnsi="Times New Roman"/>
          <w:sz w:val="28"/>
          <w:szCs w:val="28"/>
        </w:rPr>
        <w:t xml:space="preserve"> «Количество мероприятий по работе с молодежью в городском округе Красноуральск», уменьшен на 4 единицы и составил </w:t>
      </w:r>
      <w:r w:rsidRPr="001335C8">
        <w:rPr>
          <w:rFonts w:ascii="Times New Roman" w:hAnsi="Times New Roman"/>
          <w:b/>
          <w:sz w:val="28"/>
          <w:szCs w:val="28"/>
        </w:rPr>
        <w:t>25</w:t>
      </w:r>
      <w:r w:rsidRPr="001335C8">
        <w:rPr>
          <w:rFonts w:ascii="Times New Roman" w:hAnsi="Times New Roman"/>
          <w:sz w:val="28"/>
          <w:szCs w:val="28"/>
        </w:rPr>
        <w:t xml:space="preserve"> единиц;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3.3.1.</w:t>
      </w:r>
      <w:r w:rsidRPr="001335C8">
        <w:rPr>
          <w:rFonts w:ascii="Times New Roman" w:hAnsi="Times New Roman"/>
          <w:sz w:val="28"/>
          <w:szCs w:val="28"/>
        </w:rPr>
        <w:t xml:space="preserve"> «Доля молодых граждан в возрасте от 14 до 30 лет, вовлеченных в мероприятия по формированию в молодежной среде осознанного </w:t>
      </w:r>
      <w:proofErr w:type="spellStart"/>
      <w:r w:rsidRPr="001335C8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1335C8">
        <w:rPr>
          <w:rFonts w:ascii="Times New Roman" w:hAnsi="Times New Roman"/>
          <w:sz w:val="28"/>
          <w:szCs w:val="28"/>
        </w:rPr>
        <w:t xml:space="preserve">, пропаганде традиционных семейных ценностей, от общего числа молодых граждан в возрасте от 14 до 30 лет», уменьшен на 3,2% и составил </w:t>
      </w:r>
      <w:r w:rsidRPr="001335C8">
        <w:rPr>
          <w:rFonts w:ascii="Times New Roman" w:hAnsi="Times New Roman"/>
          <w:b/>
          <w:sz w:val="28"/>
          <w:szCs w:val="28"/>
        </w:rPr>
        <w:t>36,9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3.4.1.</w:t>
      </w:r>
      <w:r w:rsidRPr="001335C8">
        <w:rPr>
          <w:rFonts w:ascii="Times New Roman" w:hAnsi="Times New Roman"/>
          <w:sz w:val="28"/>
          <w:szCs w:val="28"/>
        </w:rPr>
        <w:t xml:space="preserve"> «Численность несовершеннолетних граждан в возрасте от 14 до 18 лет, </w:t>
      </w:r>
      <w:r w:rsidRPr="001335C8">
        <w:rPr>
          <w:rFonts w:ascii="Times New Roman" w:hAnsi="Times New Roman"/>
          <w:sz w:val="28"/>
          <w:szCs w:val="28"/>
        </w:rPr>
        <w:lastRenderedPageBreak/>
        <w:t>трудоустроенных на временную работу в свободное от учебы время», уменьшен на 400 человек и составил 0 человек;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4.1.2.</w:t>
      </w:r>
      <w:r w:rsidRPr="001335C8">
        <w:rPr>
          <w:rFonts w:ascii="Times New Roman" w:hAnsi="Times New Roman"/>
          <w:sz w:val="28"/>
          <w:szCs w:val="28"/>
        </w:rPr>
        <w:t xml:space="preserve"> «Доля граждан допризывного возраста (14 - 18 лет), проходящих подготовку в оборонно-спортивных лагерях», увеличен на 1,1% и составил </w:t>
      </w:r>
      <w:r w:rsidRPr="001335C8">
        <w:rPr>
          <w:rFonts w:ascii="Times New Roman" w:hAnsi="Times New Roman"/>
          <w:b/>
          <w:sz w:val="28"/>
          <w:szCs w:val="28"/>
        </w:rPr>
        <w:t>7,9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4.2.2.</w:t>
      </w:r>
      <w:r w:rsidRPr="001335C8">
        <w:rPr>
          <w:rFonts w:ascii="Times New Roman" w:hAnsi="Times New Roman"/>
          <w:sz w:val="28"/>
          <w:szCs w:val="28"/>
        </w:rPr>
        <w:t xml:space="preserve"> «Доля граждан, участвующих в мероприятиях по патриотическому воспитанию, к общей численности населения городского округа Красноуральск», уменьшен на 9,3% и составил </w:t>
      </w:r>
      <w:r w:rsidRPr="001335C8">
        <w:rPr>
          <w:rFonts w:ascii="Times New Roman" w:hAnsi="Times New Roman"/>
          <w:b/>
          <w:sz w:val="28"/>
          <w:szCs w:val="28"/>
        </w:rPr>
        <w:t>8,3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6.1.1.</w:t>
      </w:r>
      <w:r w:rsidRPr="001335C8">
        <w:rPr>
          <w:rFonts w:ascii="Times New Roman" w:hAnsi="Times New Roman"/>
          <w:sz w:val="28"/>
          <w:szCs w:val="28"/>
        </w:rPr>
        <w:t xml:space="preserve"> «Доля расходов на культуру в бюджете городского округа Красноуральск», уменьшен на 0,1% и составил </w:t>
      </w:r>
      <w:r w:rsidRPr="001335C8">
        <w:rPr>
          <w:rFonts w:ascii="Times New Roman" w:hAnsi="Times New Roman"/>
          <w:b/>
          <w:sz w:val="28"/>
          <w:szCs w:val="28"/>
        </w:rPr>
        <w:t>6,6</w:t>
      </w:r>
      <w:r w:rsidRPr="001335C8">
        <w:rPr>
          <w:rFonts w:ascii="Times New Roman" w:hAnsi="Times New Roman"/>
          <w:sz w:val="28"/>
          <w:szCs w:val="28"/>
        </w:rPr>
        <w:t>%;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7.1.1.</w:t>
      </w:r>
      <w:r w:rsidRPr="001335C8">
        <w:rPr>
          <w:rFonts w:ascii="Times New Roman" w:hAnsi="Times New Roman"/>
          <w:sz w:val="28"/>
          <w:szCs w:val="28"/>
        </w:rPr>
        <w:t xml:space="preserve"> «Количество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терроризма, экстремизма», уменьшен на 8 единиц и составил 25 единиц;</w:t>
      </w:r>
    </w:p>
    <w:p w:rsidR="0063377B" w:rsidRPr="001335C8" w:rsidRDefault="0063377B" w:rsidP="006337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335C8">
        <w:rPr>
          <w:rFonts w:ascii="Times New Roman" w:hAnsi="Times New Roman"/>
          <w:b/>
          <w:sz w:val="28"/>
          <w:szCs w:val="28"/>
        </w:rPr>
        <w:t>11.1.1.</w:t>
      </w:r>
      <w:r w:rsidRPr="001335C8">
        <w:rPr>
          <w:rFonts w:ascii="Times New Roman" w:hAnsi="Times New Roman"/>
          <w:sz w:val="28"/>
          <w:szCs w:val="28"/>
        </w:rPr>
        <w:t xml:space="preserve"> «Количество сооружений, в отношении которых проведены работы (оказаны услуги) по их сохранению и функционированию», увеличен на 2 единицы и составил </w:t>
      </w:r>
      <w:r w:rsidRPr="001335C8">
        <w:rPr>
          <w:rFonts w:ascii="Times New Roman" w:hAnsi="Times New Roman"/>
          <w:b/>
          <w:sz w:val="28"/>
          <w:szCs w:val="28"/>
        </w:rPr>
        <w:t>3</w:t>
      </w:r>
      <w:r w:rsidRPr="001335C8">
        <w:rPr>
          <w:rFonts w:ascii="Times New Roman" w:hAnsi="Times New Roman"/>
          <w:sz w:val="28"/>
          <w:szCs w:val="28"/>
        </w:rPr>
        <w:t xml:space="preserve"> единицы.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35C8">
        <w:rPr>
          <w:rFonts w:ascii="Times New Roman" w:hAnsi="Times New Roman"/>
          <w:sz w:val="28"/>
          <w:szCs w:val="28"/>
          <w:lang w:eastAsia="en-US"/>
        </w:rPr>
        <w:t xml:space="preserve">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63377B" w:rsidRPr="001335C8" w:rsidRDefault="0063377B" w:rsidP="006337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35C8">
        <w:rPr>
          <w:rFonts w:ascii="Times New Roman" w:hAnsi="Times New Roman"/>
          <w:sz w:val="28"/>
          <w:szCs w:val="28"/>
          <w:lang w:eastAsia="en-US"/>
        </w:rPr>
        <w:t>Однако Приложение «Цели и задачи муниципальной программы» и Стратегия №151, указанная в качестве источника целевых показателей Программы не взаимоувязаны между собой, так как в данном стратегическом документе не определены основные целевые показатели Программы.</w:t>
      </w:r>
    </w:p>
    <w:p w:rsidR="0063377B" w:rsidRPr="001335C8" w:rsidRDefault="0063377B" w:rsidP="0063377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>6.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 В приложении </w:t>
      </w: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«Методика расчета целевых показателей» 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>добавлен целевой показатель</w:t>
      </w: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1.1.3. 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7. 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1335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приложение </w:t>
      </w:r>
      <w:r w:rsidRPr="001335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«Механизм реализации Подпрограммы 8 «Предоставление региональной поддержки молодым семьям на улучшение жилищных условий»</w:t>
      </w:r>
      <w:r w:rsidRPr="001335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внесены изменения </w:t>
      </w:r>
      <w:r w:rsidRPr="001335C8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Pr="001335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Постановлением Правительства Свердловской области от 06.06.2018 № 364-ПП «О внесении изменений в государственную программу Свердловской области «Реализация молодежной политики и патриотического воспитания граждан в Свердловской области до 2024 года», утвержденную Постановлением Правительства Свердловской области от 29.12.2017 N 1047-ПП». 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35C8">
        <w:rPr>
          <w:rFonts w:ascii="Times New Roman" w:hAnsi="Times New Roman"/>
          <w:b/>
          <w:iCs/>
          <w:sz w:val="28"/>
          <w:szCs w:val="28"/>
        </w:rPr>
        <w:t xml:space="preserve">8. </w:t>
      </w:r>
      <w:r w:rsidRPr="001335C8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местного бюджета отраженным в Проекте и объемом бюджетных ассигнований, утвержденным Решением о бюджете не установлено.</w:t>
      </w:r>
    </w:p>
    <w:p w:rsidR="0063377B" w:rsidRPr="001335C8" w:rsidRDefault="0063377B" w:rsidP="0063377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9.</w:t>
      </w:r>
      <w:r w:rsidRPr="001335C8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 разделы «Перечень основных целевых показателей муниципальной программы», «Объемы финансирования муниципальной программы по годам реализации, рублей» Паспорта Программы;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35C8">
        <w:rPr>
          <w:rFonts w:ascii="Times New Roman" w:eastAsia="Calibri" w:hAnsi="Times New Roman"/>
          <w:sz w:val="28"/>
          <w:szCs w:val="28"/>
          <w:lang w:eastAsia="en-US"/>
        </w:rPr>
        <w:t>- приложение «Цели, задачи и целевые показатели реализации муниципальной программы»;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программы»;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- приложение «</w:t>
      </w:r>
      <w:r w:rsidRPr="001335C8">
        <w:rPr>
          <w:rFonts w:ascii="Times New Roman" w:hAnsi="Times New Roman"/>
          <w:bCs/>
          <w:sz w:val="28"/>
          <w:szCs w:val="28"/>
        </w:rPr>
        <w:t>Механизм реализации Подпрограммы 8 «Предоставление региональной поддержки молодым семьям на улучшение жилищных условий».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77B" w:rsidRPr="001335C8" w:rsidRDefault="0063377B" w:rsidP="0063377B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5C8">
        <w:rPr>
          <w:rFonts w:ascii="Times New Roman" w:hAnsi="Times New Roman"/>
          <w:b/>
          <w:sz w:val="28"/>
          <w:szCs w:val="28"/>
        </w:rPr>
        <w:t>Вывод:</w:t>
      </w:r>
    </w:p>
    <w:p w:rsidR="0063377B" w:rsidRPr="001335C8" w:rsidRDefault="0063377B" w:rsidP="0063377B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63377B" w:rsidRPr="001335C8" w:rsidRDefault="0063377B" w:rsidP="0063377B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 xml:space="preserve">Рекомендовать ответственному исполнителю при дальнейшей реализации Программы приложение «Цели, задачи и целевые показатели реализации муниципальной программы» привести в соответствие со стратегическими документами городского округа Красноуральск на </w:t>
      </w:r>
      <w:proofErr w:type="gramStart"/>
      <w:r w:rsidRPr="001335C8">
        <w:rPr>
          <w:rFonts w:ascii="Times New Roman" w:hAnsi="Times New Roman"/>
          <w:sz w:val="28"/>
          <w:szCs w:val="28"/>
        </w:rPr>
        <w:t>основании  п.п.</w:t>
      </w:r>
      <w:proofErr w:type="gramEnd"/>
      <w:r w:rsidRPr="001335C8">
        <w:rPr>
          <w:rFonts w:ascii="Times New Roman" w:hAnsi="Times New Roman"/>
          <w:sz w:val="28"/>
          <w:szCs w:val="28"/>
        </w:rPr>
        <w:t>3 п. 8 гл. 2 Порядка № 220.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35C8">
        <w:rPr>
          <w:rFonts w:ascii="Times New Roman" w:hAnsi="Times New Roman"/>
          <w:b/>
          <w:sz w:val="28"/>
          <w:szCs w:val="28"/>
          <w:lang w:eastAsia="en-US"/>
        </w:rPr>
        <w:t>3.</w:t>
      </w:r>
      <w:r w:rsidRPr="001335C8">
        <w:rPr>
          <w:rFonts w:ascii="Times New Roman" w:hAnsi="Times New Roman"/>
          <w:sz w:val="28"/>
          <w:szCs w:val="28"/>
          <w:lang w:eastAsia="en-US"/>
        </w:rPr>
        <w:t xml:space="preserve"> Информацию о решении, принятом по результатам настоящей экспертизы, направить в адрес Контрольного органа в срок до 20.02.2019.</w:t>
      </w:r>
    </w:p>
    <w:p w:rsidR="0063377B" w:rsidRPr="001335C8" w:rsidRDefault="0063377B" w:rsidP="0063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3377B" w:rsidRPr="001335C8" w:rsidRDefault="0063377B" w:rsidP="0063377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Исполнитель:</w:t>
      </w:r>
    </w:p>
    <w:p w:rsidR="0063377B" w:rsidRPr="001335C8" w:rsidRDefault="0063377B" w:rsidP="0063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5C8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Е.Н. Шмакова</w:t>
      </w:r>
    </w:p>
    <w:p w:rsidR="00620D7A" w:rsidRDefault="0063377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99"/>
    <w:rsid w:val="0063377B"/>
    <w:rsid w:val="0093029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57E6-4853-41CD-B241-1BB2CD7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2019-03-06T06:26:00Z</dcterms:created>
  <dcterms:modified xsi:type="dcterms:W3CDTF">2019-03-06T06:26:00Z</dcterms:modified>
</cp:coreProperties>
</file>